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imes New Roman" w:hAnsi="Times New Roman" w:eastAsia="黑体"/>
          <w:sz w:val="32"/>
          <w:szCs w:val="32"/>
        </w:rPr>
      </w:pPr>
      <w:bookmarkStart w:id="2" w:name="_GoBack"/>
      <w:bookmarkEnd w:id="2"/>
      <w:bookmarkStart w:id="0" w:name="_Hlk41899908"/>
      <w:r>
        <w:rPr>
          <w:rFonts w:hint="eastAsia" w:ascii="Times New Roman" w:hAnsi="Times New Roman" w:eastAsia="黑体"/>
          <w:sz w:val="32"/>
          <w:szCs w:val="32"/>
        </w:rPr>
        <w:t>德州正朔环保</w:t>
      </w:r>
      <w:r>
        <w:rPr>
          <w:rFonts w:ascii="Times New Roman" w:hAnsi="Times New Roman" w:eastAsia="黑体"/>
          <w:sz w:val="32"/>
          <w:szCs w:val="32"/>
        </w:rPr>
        <w:t>有限公司</w:t>
      </w:r>
      <w:r>
        <w:rPr>
          <w:rFonts w:hint="eastAsia" w:ascii="Times New Roman" w:hAnsi="Times New Roman" w:eastAsia="黑体"/>
          <w:sz w:val="32"/>
          <w:szCs w:val="32"/>
        </w:rPr>
        <w:t>德州市环境保护固体废物综合处置中心刚性结构填埋场项目</w:t>
      </w:r>
      <w:bookmarkEnd w:id="0"/>
      <w:r>
        <w:rPr>
          <w:rFonts w:ascii="Times New Roman" w:hAnsi="Times New Roman" w:eastAsia="黑体"/>
          <w:sz w:val="32"/>
          <w:szCs w:val="32"/>
        </w:rPr>
        <w:t>环境影响评价第</w:t>
      </w:r>
      <w:r>
        <w:rPr>
          <w:rFonts w:hint="eastAsia" w:ascii="Times New Roman" w:hAnsi="Times New Roman" w:eastAsia="黑体"/>
          <w:sz w:val="32"/>
          <w:szCs w:val="32"/>
        </w:rPr>
        <w:t>二</w:t>
      </w:r>
      <w:r>
        <w:rPr>
          <w:rFonts w:ascii="Times New Roman" w:hAnsi="Times New Roman" w:eastAsia="黑体"/>
          <w:sz w:val="32"/>
          <w:szCs w:val="32"/>
        </w:rPr>
        <w:t>次公示</w:t>
      </w:r>
    </w:p>
    <w:p>
      <w:pPr>
        <w:rPr>
          <w:rFonts w:ascii="Times New Roman" w:hAnsi="Times New Roman" w:cs="Times New Roman"/>
        </w:rPr>
      </w:pPr>
    </w:p>
    <w:p>
      <w:pPr>
        <w:spacing w:line="360" w:lineRule="auto"/>
        <w:jc w:val="left"/>
        <w:outlineLvl w:val="0"/>
        <w:rPr>
          <w:rFonts w:ascii="Times New Roman" w:hAnsi="Times New Roman" w:eastAsia="黑体" w:cs="Times New Roman"/>
          <w:b/>
          <w:kern w:val="0"/>
          <w:sz w:val="24"/>
        </w:rPr>
      </w:pPr>
      <w:r>
        <w:rPr>
          <w:rFonts w:ascii="Times New Roman" w:hAnsi="Times New Roman" w:eastAsia="黑体" w:cs="Times New Roman"/>
          <w:b/>
          <w:kern w:val="0"/>
          <w:sz w:val="24"/>
          <w:lang w:bidi="ar"/>
        </w:rPr>
        <w:t>一、项目基本情况</w:t>
      </w:r>
    </w:p>
    <w:p>
      <w:pPr>
        <w:widowControl/>
        <w:spacing w:line="360" w:lineRule="auto"/>
        <w:ind w:firstLine="482" w:firstLineChars="200"/>
        <w:rPr>
          <w:rFonts w:ascii="Times New Roman" w:hAnsi="Times New Roman" w:cs="Times New Roman"/>
          <w:sz w:val="24"/>
        </w:rPr>
      </w:pPr>
      <w:r>
        <w:rPr>
          <w:rFonts w:ascii="Times New Roman" w:hAnsi="Times New Roman" w:eastAsia="宋体" w:cs="Times New Roman"/>
          <w:b/>
          <w:kern w:val="0"/>
          <w:sz w:val="24"/>
          <w:lang w:bidi="ar"/>
        </w:rPr>
        <w:t>项目名称</w:t>
      </w:r>
      <w:r>
        <w:rPr>
          <w:rFonts w:ascii="Times New Roman" w:hAnsi="Times New Roman" w:eastAsia="宋体" w:cs="Times New Roman"/>
          <w:kern w:val="0"/>
          <w:sz w:val="24"/>
          <w:lang w:bidi="ar"/>
        </w:rPr>
        <w:t>：</w:t>
      </w:r>
      <w:r>
        <w:rPr>
          <w:rFonts w:hint="eastAsia" w:ascii="Times New Roman" w:hAnsi="Times New Roman" w:eastAsia="宋体" w:cs="Times New Roman"/>
          <w:kern w:val="0"/>
          <w:sz w:val="24"/>
          <w:lang w:bidi="ar"/>
        </w:rPr>
        <w:t>德州正朔环保有限公司德州市环境保护固体废物综合处置中心刚性结构填埋场项目</w:t>
      </w:r>
    </w:p>
    <w:p>
      <w:pPr>
        <w:widowControl/>
        <w:spacing w:line="360" w:lineRule="auto"/>
        <w:ind w:firstLine="482" w:firstLineChars="200"/>
        <w:rPr>
          <w:rFonts w:ascii="Times New Roman" w:hAnsi="Times New Roman" w:cs="Times New Roman"/>
          <w:b/>
          <w:sz w:val="24"/>
        </w:rPr>
      </w:pPr>
      <w:r>
        <w:rPr>
          <w:rFonts w:ascii="Times New Roman" w:hAnsi="Times New Roman" w:eastAsia="宋体" w:cs="Times New Roman"/>
          <w:b/>
          <w:kern w:val="0"/>
          <w:sz w:val="24"/>
          <w:lang w:bidi="ar"/>
        </w:rPr>
        <w:t>建设性质</w:t>
      </w:r>
      <w:r>
        <w:rPr>
          <w:rFonts w:ascii="Times New Roman" w:hAnsi="Times New Roman" w:eastAsia="宋体" w:cs="Times New Roman"/>
          <w:kern w:val="0"/>
          <w:sz w:val="24"/>
          <w:lang w:bidi="ar"/>
        </w:rPr>
        <w:t>：</w:t>
      </w:r>
      <w:r>
        <w:rPr>
          <w:rFonts w:hint="eastAsia" w:ascii="Times New Roman" w:hAnsi="Times New Roman" w:eastAsia="宋体" w:cs="Times New Roman"/>
          <w:kern w:val="0"/>
          <w:sz w:val="24"/>
          <w:lang w:bidi="ar"/>
        </w:rPr>
        <w:t>改扩建</w:t>
      </w:r>
    </w:p>
    <w:p>
      <w:pPr>
        <w:adjustRightInd w:val="0"/>
        <w:snapToGrid w:val="0"/>
        <w:spacing w:line="360" w:lineRule="auto"/>
        <w:ind w:firstLine="482" w:firstLineChars="200"/>
        <w:rPr>
          <w:rFonts w:ascii="Times New Roman" w:hAnsi="Times New Roman" w:eastAsia="宋体" w:cs="Times New Roman"/>
          <w:sz w:val="24"/>
          <w:szCs w:val="22"/>
        </w:rPr>
      </w:pPr>
      <w:r>
        <w:rPr>
          <w:rFonts w:ascii="Times New Roman" w:hAnsi="Times New Roman" w:eastAsia="宋体" w:cs="Times New Roman"/>
          <w:b/>
          <w:sz w:val="24"/>
          <w:lang w:bidi="ar"/>
        </w:rPr>
        <w:t>项目概况</w:t>
      </w:r>
      <w:r>
        <w:rPr>
          <w:rFonts w:ascii="Times New Roman" w:hAnsi="Times New Roman" w:eastAsia="宋体" w:cs="Times New Roman"/>
          <w:sz w:val="24"/>
          <w:lang w:bidi="ar"/>
        </w:rPr>
        <w:t>：</w:t>
      </w:r>
      <w:r>
        <w:rPr>
          <w:rFonts w:hint="eastAsia" w:ascii="Times New Roman" w:hAnsi="宋体" w:eastAsia="宋体" w:cs="Times New Roman"/>
          <w:sz w:val="24"/>
        </w:rPr>
        <w:t>项目位于</w:t>
      </w:r>
      <w:bookmarkStart w:id="1" w:name="_Hlk43644723"/>
      <w:r>
        <w:rPr>
          <w:rFonts w:hint="eastAsia" w:ascii="Times New Roman" w:hAnsi="宋体" w:eastAsia="宋体" w:cs="Times New Roman"/>
          <w:sz w:val="24"/>
        </w:rPr>
        <w:t>德州市乐陵市铁营镇闫北村东南约1100m</w:t>
      </w:r>
      <w:bookmarkEnd w:id="1"/>
      <w:r>
        <w:rPr>
          <w:rFonts w:hint="eastAsia" w:ascii="Times New Roman" w:hAnsi="宋体" w:eastAsia="宋体" w:cs="Times New Roman"/>
          <w:sz w:val="24"/>
        </w:rPr>
        <w:t>，项目为改扩建项目，新增占地面积约为89亩，主要处理德州市及周边县市企业产生的危险废物，本次设计</w:t>
      </w:r>
      <w:r>
        <w:rPr>
          <w:rFonts w:ascii="Times New Roman" w:hAnsi="Times New Roman" w:eastAsia="宋体" w:cs="Times New Roman"/>
          <w:sz w:val="24"/>
          <w:szCs w:val="22"/>
        </w:rPr>
        <w:t>安全填埋规模</w:t>
      </w:r>
      <w:r>
        <w:rPr>
          <w:rFonts w:hint="eastAsia" w:ascii="Times New Roman" w:hAnsi="Times New Roman" w:eastAsia="宋体" w:cs="Times New Roman"/>
          <w:sz w:val="24"/>
          <w:szCs w:val="22"/>
        </w:rPr>
        <w:t>为</w:t>
      </w:r>
      <w:r>
        <w:rPr>
          <w:rFonts w:ascii="Times New Roman" w:hAnsi="Times New Roman" w:eastAsia="宋体" w:cs="Times New Roman"/>
          <w:sz w:val="24"/>
          <w:szCs w:val="22"/>
        </w:rPr>
        <w:t>50000t/a</w:t>
      </w:r>
      <w:r>
        <w:rPr>
          <w:rFonts w:hint="eastAsia" w:ascii="Times New Roman" w:hAnsi="Times New Roman" w:eastAsia="宋体" w:cs="Times New Roman"/>
          <w:sz w:val="24"/>
          <w:szCs w:val="22"/>
        </w:rPr>
        <w:t>，每格填埋单元尺寸为5m×5m×10m，有效容积为237.5m</w:t>
      </w:r>
      <w:r>
        <w:rPr>
          <w:rFonts w:ascii="Times New Roman" w:hAnsi="Times New Roman" w:eastAsia="宋体" w:cs="Times New Roman"/>
          <w:sz w:val="24"/>
          <w:szCs w:val="22"/>
          <w:vertAlign w:val="superscript"/>
        </w:rPr>
        <w:t>3</w:t>
      </w:r>
      <w:r>
        <w:rPr>
          <w:rFonts w:hint="eastAsia" w:ascii="Times New Roman" w:hAnsi="Times New Roman" w:eastAsia="宋体" w:cs="Times New Roman"/>
          <w:sz w:val="24"/>
          <w:szCs w:val="22"/>
        </w:rPr>
        <w:t>，刚性填埋库区共设置填埋单元1476格，</w:t>
      </w:r>
      <w:r>
        <w:rPr>
          <w:rFonts w:ascii="Times New Roman" w:hAnsi="Times New Roman" w:eastAsia="宋体" w:cs="Times New Roman"/>
          <w:sz w:val="24"/>
          <w:szCs w:val="22"/>
        </w:rPr>
        <w:t>总库容：36.9万m</w:t>
      </w:r>
      <w:r>
        <w:rPr>
          <w:rFonts w:ascii="Times New Roman" w:hAnsi="Times New Roman" w:eastAsia="宋体" w:cs="Times New Roman"/>
          <w:sz w:val="24"/>
          <w:szCs w:val="22"/>
          <w:vertAlign w:val="superscript"/>
        </w:rPr>
        <w:t>3</w:t>
      </w:r>
      <w:r>
        <w:rPr>
          <w:rFonts w:ascii="Times New Roman" w:hAnsi="Times New Roman" w:eastAsia="宋体" w:cs="Times New Roman"/>
          <w:sz w:val="24"/>
          <w:szCs w:val="22"/>
        </w:rPr>
        <w:t>，</w:t>
      </w:r>
      <w:r>
        <w:rPr>
          <w:rFonts w:hint="eastAsia" w:ascii="Times New Roman" w:hAnsi="Times New Roman" w:eastAsia="宋体" w:cs="Times New Roman"/>
          <w:sz w:val="24"/>
          <w:szCs w:val="22"/>
        </w:rPr>
        <w:t>有效库容3</w:t>
      </w:r>
      <w:r>
        <w:rPr>
          <w:rFonts w:ascii="Times New Roman" w:hAnsi="Times New Roman" w:eastAsia="宋体" w:cs="Times New Roman"/>
          <w:sz w:val="24"/>
          <w:szCs w:val="22"/>
        </w:rPr>
        <w:t>5.06</w:t>
      </w:r>
      <w:r>
        <w:rPr>
          <w:rFonts w:hint="eastAsia" w:ascii="Times New Roman" w:hAnsi="Times New Roman" w:eastAsia="宋体" w:cs="Times New Roman"/>
          <w:sz w:val="24"/>
          <w:szCs w:val="22"/>
        </w:rPr>
        <w:t>万</w:t>
      </w:r>
      <w:r>
        <w:rPr>
          <w:rFonts w:ascii="Times New Roman" w:hAnsi="Times New Roman" w:eastAsia="宋体" w:cs="Times New Roman"/>
          <w:sz w:val="24"/>
          <w:szCs w:val="22"/>
        </w:rPr>
        <w:t>m</w:t>
      </w:r>
      <w:r>
        <w:rPr>
          <w:rFonts w:ascii="Times New Roman" w:hAnsi="Times New Roman" w:eastAsia="宋体" w:cs="Times New Roman"/>
          <w:sz w:val="24"/>
          <w:szCs w:val="22"/>
          <w:vertAlign w:val="superscript"/>
        </w:rPr>
        <w:t>3</w:t>
      </w:r>
      <w:r>
        <w:rPr>
          <w:rFonts w:hint="eastAsia" w:ascii="Times New Roman" w:hAnsi="Times New Roman" w:eastAsia="宋体" w:cs="Times New Roman"/>
          <w:sz w:val="24"/>
          <w:szCs w:val="22"/>
        </w:rPr>
        <w:t>，</w:t>
      </w:r>
      <w:r>
        <w:rPr>
          <w:rFonts w:ascii="Times New Roman" w:hAnsi="Times New Roman" w:eastAsia="宋体" w:cs="Times New Roman"/>
          <w:sz w:val="24"/>
          <w:szCs w:val="22"/>
        </w:rPr>
        <w:t>填埋年限：12.62年，填埋物料密度按照1.8t/m</w:t>
      </w:r>
      <w:r>
        <w:rPr>
          <w:rFonts w:ascii="Times New Roman" w:hAnsi="Times New Roman" w:eastAsia="宋体" w:cs="Times New Roman"/>
          <w:sz w:val="24"/>
          <w:szCs w:val="22"/>
          <w:vertAlign w:val="superscript"/>
        </w:rPr>
        <w:t>3</w:t>
      </w:r>
      <w:r>
        <w:rPr>
          <w:rFonts w:ascii="Times New Roman" w:hAnsi="Times New Roman" w:eastAsia="宋体" w:cs="Times New Roman"/>
          <w:sz w:val="24"/>
          <w:szCs w:val="22"/>
        </w:rPr>
        <w:t>计算</w:t>
      </w:r>
      <w:r>
        <w:rPr>
          <w:rFonts w:hint="eastAsia" w:ascii="Times New Roman" w:hAnsi="Times New Roman" w:eastAsia="宋体" w:cs="Times New Roman"/>
          <w:sz w:val="24"/>
          <w:szCs w:val="22"/>
        </w:rPr>
        <w:t>，项目总投资约为</w:t>
      </w:r>
      <w:r>
        <w:rPr>
          <w:rFonts w:ascii="Times New Roman" w:hAnsi="Times New Roman" w:eastAsia="宋体" w:cs="Times New Roman"/>
          <w:sz w:val="24"/>
          <w:szCs w:val="22"/>
        </w:rPr>
        <w:t>70109.13</w:t>
      </w:r>
      <w:r>
        <w:rPr>
          <w:rFonts w:hint="eastAsia" w:ascii="Times New Roman" w:hAnsi="Times New Roman" w:eastAsia="宋体" w:cs="Times New Roman"/>
          <w:sz w:val="24"/>
          <w:szCs w:val="22"/>
        </w:rPr>
        <w:t>万元，填埋场作业时间为330d，每天一班，每班工作时间为8h，雨天不进行填埋作业。</w:t>
      </w:r>
    </w:p>
    <w:p>
      <w:pPr>
        <w:adjustRightInd w:val="0"/>
        <w:snapToGrid w:val="0"/>
        <w:spacing w:line="360" w:lineRule="auto"/>
        <w:jc w:val="left"/>
        <w:outlineLvl w:val="0"/>
        <w:rPr>
          <w:rFonts w:ascii="Times New Roman" w:hAnsi="Times New Roman" w:eastAsia="黑体" w:cs="Times New Roman"/>
          <w:b/>
          <w:kern w:val="0"/>
          <w:sz w:val="24"/>
          <w:lang w:bidi="ar"/>
        </w:rPr>
      </w:pPr>
      <w:r>
        <w:rPr>
          <w:rFonts w:ascii="Times New Roman" w:hAnsi="Times New Roman" w:eastAsia="黑体" w:cs="Times New Roman"/>
          <w:b/>
          <w:kern w:val="0"/>
          <w:sz w:val="24"/>
          <w:lang w:bidi="ar"/>
        </w:rPr>
        <w:t>二、环境影响报告书征求意见稿全文的网络链接及查阅纸质报告书的方式和途径</w:t>
      </w:r>
    </w:p>
    <w:p>
      <w:pPr>
        <w:adjustRightInd w:val="0"/>
        <w:snapToGrid w:val="0"/>
        <w:spacing w:line="360" w:lineRule="auto"/>
        <w:ind w:left="420" w:leftChars="200"/>
        <w:jc w:val="left"/>
        <w:rPr>
          <w:rFonts w:ascii="Times New Roman" w:hAnsi="Times New Roman" w:eastAsia="宋体" w:cs="Times New Roman"/>
          <w:kern w:val="0"/>
          <w:sz w:val="24"/>
          <w:lang w:bidi="ar"/>
        </w:rPr>
      </w:pPr>
      <w:r>
        <w:rPr>
          <w:rFonts w:ascii="Times New Roman" w:hAnsi="Times New Roman" w:eastAsia="宋体" w:cs="Times New Roman"/>
          <w:kern w:val="0"/>
          <w:sz w:val="24"/>
          <w:lang w:bidi="ar"/>
        </w:rPr>
        <w:t>1、征求意见稿全文网络连接：</w:t>
      </w:r>
      <w:r>
        <w:rPr>
          <w:rStyle w:val="8"/>
          <w:rFonts w:ascii="Times New Roman" w:hAnsi="Times New Roman" w:cs="Times New Roman"/>
          <w:color w:val="auto"/>
          <w:lang w:bidi="ar"/>
        </w:rPr>
        <w:t>https://pan.baidu.com/s/1XhGl0jQIrIQUT1dF3a5Aig</w:t>
      </w:r>
    </w:p>
    <w:p>
      <w:pPr>
        <w:adjustRightInd w:val="0"/>
        <w:snapToGrid w:val="0"/>
        <w:spacing w:line="360" w:lineRule="auto"/>
        <w:ind w:left="420" w:leftChars="200"/>
        <w:jc w:val="left"/>
        <w:rPr>
          <w:rFonts w:ascii="Times New Roman" w:hAnsi="Times New Roman" w:eastAsia="宋体" w:cs="Times New Roman"/>
          <w:kern w:val="0"/>
          <w:sz w:val="24"/>
          <w:lang w:bidi="ar"/>
        </w:rPr>
      </w:pPr>
      <w:r>
        <w:rPr>
          <w:rFonts w:ascii="Times New Roman" w:hAnsi="Times New Roman" w:eastAsia="宋体" w:cs="Times New Roman"/>
          <w:kern w:val="0"/>
          <w:sz w:val="24"/>
          <w:lang w:bidi="ar"/>
        </w:rPr>
        <w:t>提取码：3x7x</w:t>
      </w:r>
    </w:p>
    <w:p>
      <w:pPr>
        <w:adjustRightInd w:val="0"/>
        <w:snapToGrid w:val="0"/>
        <w:spacing w:line="360" w:lineRule="auto"/>
        <w:ind w:left="420" w:leftChars="200"/>
        <w:jc w:val="left"/>
        <w:rPr>
          <w:rFonts w:ascii="Times New Roman" w:hAnsi="Times New Roman" w:cs="Times New Roman"/>
          <w:kern w:val="0"/>
          <w:sz w:val="24"/>
        </w:rPr>
      </w:pPr>
      <w:r>
        <w:rPr>
          <w:rFonts w:ascii="Times New Roman" w:hAnsi="Times New Roman" w:eastAsia="宋体" w:cs="Times New Roman"/>
          <w:kern w:val="0"/>
          <w:sz w:val="24"/>
          <w:lang w:bidi="ar"/>
        </w:rPr>
        <w:t>2、查阅纸质报告书的方式和途径：通过邮寄或现场查阅纸质报告。</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eastAsia="宋体" w:cs="Times New Roman"/>
          <w:kern w:val="0"/>
          <w:sz w:val="24"/>
          <w:lang w:bidi="ar"/>
        </w:rPr>
        <w:t>建设单位地址：</w:t>
      </w:r>
      <w:r>
        <w:rPr>
          <w:rFonts w:hint="eastAsia" w:ascii="Times New Roman" w:hAnsi="Times New Roman" w:eastAsia="宋体" w:cs="Times New Roman"/>
          <w:sz w:val="24"/>
          <w:lang w:bidi="ar"/>
        </w:rPr>
        <w:t>德州乐陵市铁营镇</w:t>
      </w:r>
    </w:p>
    <w:p>
      <w:pPr>
        <w:adjustRightInd w:val="0"/>
        <w:snapToGrid w:val="0"/>
        <w:spacing w:line="360" w:lineRule="auto"/>
        <w:ind w:firstLine="480" w:firstLineChars="200"/>
        <w:rPr>
          <w:rFonts w:ascii="Times New Roman" w:hAnsi="Times New Roman" w:cs="Times New Roman"/>
          <w:kern w:val="0"/>
          <w:sz w:val="24"/>
        </w:rPr>
      </w:pPr>
      <w:r>
        <w:rPr>
          <w:rFonts w:ascii="Times New Roman" w:hAnsi="Times New Roman" w:eastAsia="宋体" w:cs="Times New Roman"/>
          <w:kern w:val="0"/>
          <w:sz w:val="24"/>
          <w:lang w:bidi="ar"/>
        </w:rPr>
        <w:t>联系人：</w:t>
      </w:r>
      <w:r>
        <w:rPr>
          <w:rFonts w:hint="eastAsia" w:ascii="Times New Roman" w:hAnsi="Times New Roman" w:eastAsia="宋体"/>
          <w:sz w:val="24"/>
        </w:rPr>
        <w:t>赵景涛</w:t>
      </w:r>
    </w:p>
    <w:p>
      <w:pPr>
        <w:widowControl/>
        <w:adjustRightInd w:val="0"/>
        <w:snapToGrid w:val="0"/>
        <w:spacing w:line="360" w:lineRule="auto"/>
        <w:ind w:firstLine="480" w:firstLineChars="200"/>
        <w:jc w:val="left"/>
        <w:rPr>
          <w:rFonts w:ascii="Times New Roman" w:hAnsi="Times New Roman" w:cs="Times New Roman"/>
        </w:rPr>
      </w:pPr>
      <w:r>
        <w:rPr>
          <w:rFonts w:ascii="Times New Roman" w:hAnsi="Times New Roman" w:eastAsia="宋体" w:cs="Times New Roman"/>
          <w:sz w:val="24"/>
          <w:lang w:bidi="ar"/>
        </w:rPr>
        <w:t>联系电话：</w:t>
      </w:r>
      <w:r>
        <w:rPr>
          <w:rFonts w:ascii="Times New Roman" w:hAnsi="Times New Roman" w:eastAsia="宋体"/>
          <w:sz w:val="24"/>
          <w:shd w:val="clear" w:color="auto" w:fill="FFFFFF"/>
        </w:rPr>
        <w:t>18606437704</w:t>
      </w:r>
    </w:p>
    <w:p>
      <w:pPr>
        <w:adjustRightInd w:val="0"/>
        <w:snapToGrid w:val="0"/>
        <w:spacing w:line="360" w:lineRule="auto"/>
        <w:jc w:val="left"/>
        <w:outlineLvl w:val="0"/>
        <w:rPr>
          <w:rFonts w:ascii="Times New Roman" w:hAnsi="Times New Roman" w:eastAsia="黑体" w:cs="Times New Roman"/>
          <w:b/>
          <w:kern w:val="0"/>
          <w:sz w:val="24"/>
          <w:lang w:bidi="ar"/>
        </w:rPr>
      </w:pPr>
      <w:r>
        <w:rPr>
          <w:rFonts w:ascii="Times New Roman" w:hAnsi="Times New Roman" w:eastAsia="黑体" w:cs="Times New Roman"/>
          <w:b/>
          <w:kern w:val="0"/>
          <w:sz w:val="24"/>
          <w:lang w:bidi="ar"/>
        </w:rPr>
        <w:t>三、征求意见的公众范围</w:t>
      </w:r>
    </w:p>
    <w:p>
      <w:pPr>
        <w:widowControl/>
        <w:adjustRightInd w:val="0"/>
        <w:snapToGrid w:val="0"/>
        <w:spacing w:line="360" w:lineRule="auto"/>
        <w:ind w:firstLine="480" w:firstLineChars="200"/>
        <w:jc w:val="left"/>
        <w:rPr>
          <w:rFonts w:ascii="Times New Roman" w:hAnsi="Times New Roman" w:eastAsia="宋体" w:cs="Times New Roman"/>
          <w:kern w:val="0"/>
          <w:sz w:val="24"/>
          <w:lang w:bidi="ar"/>
        </w:rPr>
      </w:pPr>
      <w:r>
        <w:rPr>
          <w:rFonts w:ascii="Times New Roman" w:hAnsi="Times New Roman" w:eastAsia="宋体" w:cs="Times New Roman"/>
          <w:kern w:val="0"/>
          <w:sz w:val="24"/>
          <w:lang w:bidi="ar"/>
        </w:rPr>
        <w:t>本次征求意见的公众范围为：环境影响评价范围（厂址周围1.5km）内的公民、法人和其他组织。</w:t>
      </w:r>
    </w:p>
    <w:p>
      <w:pPr>
        <w:adjustRightInd w:val="0"/>
        <w:snapToGrid w:val="0"/>
        <w:spacing w:line="360" w:lineRule="auto"/>
        <w:outlineLvl w:val="0"/>
        <w:rPr>
          <w:rFonts w:ascii="Times New Roman" w:hAnsi="Times New Roman" w:eastAsia="黑体" w:cs="Times New Roman"/>
          <w:b/>
          <w:sz w:val="24"/>
        </w:rPr>
      </w:pPr>
      <w:r>
        <w:rPr>
          <w:rFonts w:ascii="Times New Roman" w:hAnsi="Times New Roman" w:eastAsia="黑体" w:cs="Times New Roman"/>
          <w:b/>
          <w:sz w:val="24"/>
          <w:lang w:bidi="ar"/>
        </w:rPr>
        <w:t>四、公众意见表的网络链接</w:t>
      </w:r>
    </w:p>
    <w:p>
      <w:pPr>
        <w:adjustRightInd w:val="0"/>
        <w:snapToGrid w:val="0"/>
        <w:spacing w:line="360" w:lineRule="auto"/>
        <w:ind w:left="420" w:left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公众意见表的网络链接：</w:t>
      </w:r>
      <w:r>
        <w:rPr>
          <w:rFonts w:ascii="Times New Roman" w:hAnsi="Times New Roman" w:cs="Times New Roman"/>
        </w:rPr>
        <w:t>https://pan.baidu.com/s/1041gsZ6yYSDlSWO76NB1mQ</w:t>
      </w:r>
    </w:p>
    <w:p>
      <w:pPr>
        <w:adjustRightInd w:val="0"/>
        <w:snapToGrid w:val="0"/>
        <w:spacing w:line="360" w:lineRule="auto"/>
        <w:ind w:left="420" w:left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提取码：lc24</w:t>
      </w:r>
    </w:p>
    <w:p>
      <w:pPr>
        <w:adjustRightInd w:val="0"/>
        <w:snapToGrid w:val="0"/>
        <w:spacing w:line="360" w:lineRule="auto"/>
        <w:outlineLvl w:val="0"/>
        <w:rPr>
          <w:rFonts w:ascii="Times New Roman" w:hAnsi="Times New Roman" w:eastAsia="黑体" w:cs="Times New Roman"/>
          <w:b/>
          <w:bCs/>
          <w:sz w:val="24"/>
        </w:rPr>
      </w:pPr>
      <w:r>
        <w:rPr>
          <w:rFonts w:ascii="Times New Roman" w:hAnsi="Times New Roman" w:eastAsia="黑体" w:cs="Times New Roman"/>
          <w:b/>
          <w:sz w:val="24"/>
          <w:lang w:bidi="ar"/>
        </w:rPr>
        <w:t>五、</w:t>
      </w:r>
      <w:r>
        <w:rPr>
          <w:rFonts w:ascii="Times New Roman" w:hAnsi="Times New Roman" w:eastAsia="黑体" w:cs="Times New Roman"/>
          <w:b/>
          <w:bCs/>
          <w:sz w:val="24"/>
          <w:lang w:bidi="ar"/>
        </w:rPr>
        <w:t>公众提出意见的方式和途径</w:t>
      </w:r>
    </w:p>
    <w:p>
      <w:pPr>
        <w:widowControl/>
        <w:adjustRightInd w:val="0"/>
        <w:snapToGrid w:val="0"/>
        <w:spacing w:line="360" w:lineRule="auto"/>
        <w:ind w:firstLine="480" w:firstLineChars="200"/>
        <w:jc w:val="left"/>
        <w:rPr>
          <w:rFonts w:ascii="Times New Roman" w:hAnsi="Times New Roman" w:cs="Times New Roman"/>
        </w:rPr>
      </w:pPr>
      <w:r>
        <w:rPr>
          <w:rFonts w:ascii="Times New Roman" w:hAnsi="Times New Roman" w:eastAsia="宋体" w:cs="Times New Roman"/>
          <w:sz w:val="24"/>
          <w:lang w:bidi="ar"/>
        </w:rPr>
        <w:t>自公示之日起10个工作日内，公众可以通过信函、电子邮件、电话、填写公众意见表等多种方式向建设单位提出意见和建议。</w:t>
      </w:r>
    </w:p>
    <w:p>
      <w:pPr>
        <w:adjustRightInd w:val="0"/>
        <w:snapToGrid w:val="0"/>
        <w:spacing w:line="360" w:lineRule="auto"/>
        <w:jc w:val="left"/>
        <w:outlineLvl w:val="0"/>
        <w:rPr>
          <w:rFonts w:ascii="Times New Roman" w:hAnsi="Times New Roman" w:eastAsia="黑体" w:cs="Times New Roman"/>
          <w:b/>
          <w:kern w:val="0"/>
          <w:sz w:val="24"/>
        </w:rPr>
      </w:pPr>
      <w:r>
        <w:rPr>
          <w:rFonts w:ascii="Times New Roman" w:hAnsi="Times New Roman" w:eastAsia="黑体" w:cs="Times New Roman"/>
          <w:b/>
          <w:kern w:val="0"/>
          <w:sz w:val="24"/>
          <w:lang w:bidi="ar"/>
        </w:rPr>
        <w:t>六、公众提出意见的起止时间</w:t>
      </w:r>
    </w:p>
    <w:p>
      <w:pPr>
        <w:adjustRightInd w:val="0"/>
        <w:snapToGrid w:val="0"/>
        <w:spacing w:line="360" w:lineRule="auto"/>
        <w:ind w:firstLine="480" w:firstLineChars="200"/>
        <w:rPr>
          <w:rFonts w:ascii="Times New Roman" w:hAnsi="Times New Roman" w:cs="Times New Roman"/>
          <w:kern w:val="0"/>
          <w:sz w:val="24"/>
        </w:rPr>
      </w:pPr>
      <w:r>
        <w:rPr>
          <w:rFonts w:ascii="Times New Roman" w:hAnsi="Times New Roman" w:eastAsia="宋体" w:cs="Times New Roman"/>
          <w:color w:val="FF0000"/>
          <w:sz w:val="24"/>
          <w:szCs w:val="21"/>
          <w:lang w:bidi="ar"/>
        </w:rPr>
        <w:t>2020年6月22日至2020年7月</w:t>
      </w:r>
      <w:r>
        <w:rPr>
          <w:rFonts w:hint="eastAsia" w:ascii="Times New Roman" w:hAnsi="Times New Roman" w:eastAsia="宋体" w:cs="Times New Roman"/>
          <w:color w:val="FF0000"/>
          <w:sz w:val="24"/>
          <w:szCs w:val="21"/>
          <w:lang w:bidi="ar"/>
        </w:rPr>
        <w:t>6</w:t>
      </w:r>
      <w:r>
        <w:rPr>
          <w:rFonts w:ascii="Times New Roman" w:hAnsi="Times New Roman" w:eastAsia="宋体" w:cs="Times New Roman"/>
          <w:color w:val="FF0000"/>
          <w:sz w:val="24"/>
          <w:szCs w:val="21"/>
          <w:lang w:bidi="ar"/>
        </w:rPr>
        <w:t>日</w:t>
      </w:r>
      <w:r>
        <w:rPr>
          <w:rFonts w:ascii="Times New Roman" w:hAnsi="Times New Roman" w:eastAsia="宋体" w:cs="Times New Roman"/>
          <w:color w:val="FF0000"/>
          <w:kern w:val="0"/>
          <w:sz w:val="24"/>
          <w:lang w:bidi="ar"/>
        </w:rPr>
        <w:t>（10个工作日）</w:t>
      </w:r>
      <w:r>
        <w:rPr>
          <w:rFonts w:ascii="Times New Roman" w:hAnsi="Times New Roman" w:eastAsia="宋体" w:cs="Times New Roman"/>
          <w:kern w:val="0"/>
          <w:sz w:val="24"/>
          <w:lang w:bidi="ar"/>
        </w:rPr>
        <w:t>。</w:t>
      </w:r>
    </w:p>
    <w:p>
      <w:pPr>
        <w:widowControl/>
        <w:spacing w:line="360" w:lineRule="auto"/>
        <w:jc w:val="left"/>
        <w:rPr>
          <w:rFonts w:ascii="Times New Roman" w:hAnsi="Times New Roman" w:eastAsia="宋体" w:cs="Times New Roman"/>
          <w:kern w:val="0"/>
          <w:sz w:val="24"/>
          <w:highlight w:val="green"/>
          <w:lang w:bidi="ar"/>
        </w:rPr>
      </w:pPr>
    </w:p>
    <w:p>
      <w:pPr>
        <w:widowControl/>
        <w:spacing w:line="360" w:lineRule="auto"/>
        <w:jc w:val="left"/>
        <w:rPr>
          <w:rFonts w:ascii="Times New Roman" w:hAnsi="Times New Roman" w:eastAsia="宋体" w:cs="Times New Roman"/>
          <w:kern w:val="0"/>
          <w:sz w:val="24"/>
          <w:highlight w:val="green"/>
          <w:lang w:bidi="ar"/>
        </w:rPr>
      </w:pPr>
    </w:p>
    <w:p>
      <w:pPr>
        <w:widowControl/>
        <w:spacing w:line="360" w:lineRule="auto"/>
        <w:jc w:val="left"/>
        <w:rPr>
          <w:rFonts w:ascii="Times New Roman" w:hAnsi="Times New Roman" w:eastAsia="宋体" w:cs="Times New Roman"/>
          <w:kern w:val="0"/>
          <w:sz w:val="24"/>
          <w:highlight w:val="green"/>
          <w:lang w:bidi="ar"/>
        </w:rPr>
      </w:pPr>
    </w:p>
    <w:p>
      <w:pPr>
        <w:widowControl/>
        <w:spacing w:line="360" w:lineRule="auto"/>
        <w:jc w:val="left"/>
        <w:rPr>
          <w:rFonts w:ascii="Times New Roman" w:hAnsi="Times New Roman" w:eastAsia="宋体" w:cs="Times New Roman"/>
          <w:kern w:val="0"/>
          <w:sz w:val="24"/>
          <w:highlight w:val="green"/>
          <w:lang w:bidi="ar"/>
        </w:rPr>
      </w:pPr>
    </w:p>
    <w:p>
      <w:pPr>
        <w:widowControl/>
        <w:spacing w:line="360" w:lineRule="auto"/>
        <w:jc w:val="left"/>
        <w:rPr>
          <w:rFonts w:ascii="Times New Roman" w:hAnsi="Times New Roman" w:eastAsia="宋体" w:cs="Times New Roman"/>
          <w:kern w:val="0"/>
          <w:sz w:val="24"/>
          <w:highlight w:val="green"/>
          <w:lang w:bidi="ar"/>
        </w:rPr>
      </w:pPr>
    </w:p>
    <w:p>
      <w:pPr>
        <w:widowControl/>
        <w:spacing w:line="360" w:lineRule="auto"/>
        <w:jc w:val="right"/>
        <w:rPr>
          <w:rFonts w:ascii="Times New Roman" w:hAnsi="Times New Roman" w:eastAsia="宋体" w:cs="Times New Roman"/>
          <w:kern w:val="0"/>
          <w:sz w:val="24"/>
          <w:lang w:bidi="ar"/>
        </w:rPr>
      </w:pPr>
      <w:r>
        <w:rPr>
          <w:rFonts w:hint="eastAsia" w:ascii="Times New Roman" w:hAnsi="Times New Roman" w:eastAsia="宋体" w:cs="Times New Roman"/>
          <w:kern w:val="0"/>
          <w:sz w:val="24"/>
          <w:lang w:bidi="ar"/>
        </w:rPr>
        <w:t xml:space="preserve"> </w:t>
      </w:r>
      <w:r>
        <w:rPr>
          <w:rFonts w:ascii="Times New Roman" w:hAnsi="Times New Roman" w:eastAsia="宋体" w:cs="Times New Roman"/>
          <w:kern w:val="0"/>
          <w:sz w:val="24"/>
          <w:lang w:bidi="ar"/>
        </w:rPr>
        <w:t>公告发布单位：</w:t>
      </w:r>
      <w:r>
        <w:rPr>
          <w:rFonts w:hint="eastAsia" w:ascii="Times New Roman" w:hAnsi="Times New Roman" w:eastAsia="宋体" w:cs="Times New Roman"/>
          <w:sz w:val="24"/>
          <w:shd w:val="clear" w:color="auto" w:fill="FFFFFF"/>
        </w:rPr>
        <w:t>德州正朔环保有限公司</w:t>
      </w:r>
    </w:p>
    <w:p>
      <w:pPr>
        <w:widowControl/>
        <w:spacing w:line="360" w:lineRule="auto"/>
        <w:jc w:val="center"/>
        <w:rPr>
          <w:rFonts w:ascii="Times New Roman" w:hAnsi="Times New Roman" w:eastAsia="宋体" w:cs="Times New Roman"/>
          <w:kern w:val="0"/>
          <w:sz w:val="24"/>
          <w:lang w:bidi="ar"/>
        </w:rPr>
      </w:pPr>
      <w:r>
        <w:rPr>
          <w:rFonts w:ascii="Times New Roman" w:hAnsi="Times New Roman" w:eastAsia="宋体" w:cs="Times New Roman"/>
          <w:kern w:val="0"/>
          <w:sz w:val="24"/>
          <w:lang w:bidi="ar"/>
        </w:rPr>
        <w:t xml:space="preserve">                                 发 布 日 期：</w:t>
      </w:r>
      <w:r>
        <w:rPr>
          <w:rFonts w:ascii="Times New Roman" w:hAnsi="Times New Roman" w:eastAsia="宋体" w:cs="Times New Roman"/>
          <w:color w:val="FF0000"/>
          <w:sz w:val="24"/>
          <w:szCs w:val="21"/>
          <w:lang w:bidi="ar"/>
        </w:rPr>
        <w:t>2020年6月22日</w:t>
      </w:r>
    </w:p>
    <w:p>
      <w:pPr>
        <w:widowControl/>
        <w:wordWrap w:val="0"/>
        <w:spacing w:line="360" w:lineRule="auto"/>
        <w:jc w:val="right"/>
        <w:rPr>
          <w:rFonts w:ascii="Times New Roman" w:hAnsi="Times New Roman" w:eastAsia="宋体" w:cs="Times New Roman"/>
          <w:kern w:val="0"/>
          <w:sz w:val="24"/>
          <w:lang w:bidi="ar"/>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4D"/>
    <w:rsid w:val="00045E91"/>
    <w:rsid w:val="001B5F94"/>
    <w:rsid w:val="001C4346"/>
    <w:rsid w:val="001C6507"/>
    <w:rsid w:val="0026317B"/>
    <w:rsid w:val="00270935"/>
    <w:rsid w:val="00303069"/>
    <w:rsid w:val="00377F58"/>
    <w:rsid w:val="003B7507"/>
    <w:rsid w:val="003D5282"/>
    <w:rsid w:val="004C7A53"/>
    <w:rsid w:val="004E1CCF"/>
    <w:rsid w:val="00536A44"/>
    <w:rsid w:val="005E224B"/>
    <w:rsid w:val="006D61BB"/>
    <w:rsid w:val="00811253"/>
    <w:rsid w:val="00840CFE"/>
    <w:rsid w:val="00865304"/>
    <w:rsid w:val="008976A9"/>
    <w:rsid w:val="00903F58"/>
    <w:rsid w:val="00931CA4"/>
    <w:rsid w:val="009A5496"/>
    <w:rsid w:val="00A04E8E"/>
    <w:rsid w:val="00A053A4"/>
    <w:rsid w:val="00A34D4D"/>
    <w:rsid w:val="00BC5581"/>
    <w:rsid w:val="00C929BD"/>
    <w:rsid w:val="00D46AC7"/>
    <w:rsid w:val="00E03A7B"/>
    <w:rsid w:val="00F95015"/>
    <w:rsid w:val="01583F25"/>
    <w:rsid w:val="3FD143A2"/>
    <w:rsid w:val="7F42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0"/>
    <w:qFormat/>
    <w:uiPriority w:val="0"/>
    <w:pPr>
      <w:spacing w:before="240" w:after="60" w:line="312" w:lineRule="auto"/>
      <w:jc w:val="center"/>
      <w:outlineLvl w:val="1"/>
    </w:pPr>
    <w:rPr>
      <w:rFonts w:hint="eastAsia" w:ascii="等线" w:hAnsi="等线" w:eastAsia="等线" w:cs="Times New Roman"/>
      <w:b/>
      <w:kern w:val="28"/>
      <w:sz w:val="32"/>
      <w:szCs w:val="32"/>
    </w:rPr>
  </w:style>
  <w:style w:type="character" w:styleId="7">
    <w:name w:val="FollowedHyperlink"/>
    <w:basedOn w:val="6"/>
    <w:uiPriority w:val="0"/>
    <w:rPr>
      <w:color w:val="800080"/>
      <w:u w:val="single"/>
    </w:rPr>
  </w:style>
  <w:style w:type="character" w:styleId="8">
    <w:name w:val="Hyperlink"/>
    <w:basedOn w:val="6"/>
    <w:uiPriority w:val="0"/>
    <w:rPr>
      <w:color w:val="0000FF"/>
      <w:u w:val="single"/>
    </w:rPr>
  </w:style>
  <w:style w:type="character" w:customStyle="1" w:styleId="10">
    <w:name w:val="副标题 字符"/>
    <w:basedOn w:val="6"/>
    <w:link w:val="5"/>
    <w:uiPriority w:val="0"/>
    <w:rPr>
      <w:b/>
      <w:kern w:val="28"/>
      <w:sz w:val="32"/>
      <w:szCs w:val="32"/>
    </w:rPr>
  </w:style>
  <w:style w:type="character" w:customStyle="1" w:styleId="11">
    <w:name w:val="页眉 字符"/>
    <w:basedOn w:val="6"/>
    <w:link w:val="4"/>
    <w:uiPriority w:val="0"/>
    <w:rPr>
      <w:rFonts w:asciiTheme="minorHAnsi" w:hAnsiTheme="minorHAnsi" w:eastAsiaTheme="minorEastAsia" w:cstheme="minorBidi"/>
      <w:kern w:val="2"/>
      <w:sz w:val="18"/>
      <w:szCs w:val="18"/>
    </w:rPr>
  </w:style>
  <w:style w:type="character" w:customStyle="1" w:styleId="12">
    <w:name w:val="页脚 字符"/>
    <w:basedOn w:val="6"/>
    <w:link w:val="3"/>
    <w:uiPriority w:val="0"/>
    <w:rPr>
      <w:rFonts w:asciiTheme="minorHAnsi" w:hAnsiTheme="minorHAnsi" w:eastAsiaTheme="minorEastAsia" w:cstheme="minorBidi"/>
      <w:kern w:val="2"/>
      <w:sz w:val="18"/>
      <w:szCs w:val="18"/>
    </w:rPr>
  </w:style>
  <w:style w:type="character" w:customStyle="1" w:styleId="13">
    <w:name w:val="Unresolved Mention"/>
    <w:basedOn w:val="6"/>
    <w:semiHidden/>
    <w:unhideWhenUsed/>
    <w:uiPriority w:val="99"/>
    <w:rPr>
      <w:color w:val="605E5C"/>
      <w:shd w:val="clear" w:color="auto" w:fill="E1DFDD"/>
    </w:rPr>
  </w:style>
  <w:style w:type="character" w:customStyle="1" w:styleId="14">
    <w:name w:val="批注框文本 字符"/>
    <w:basedOn w:val="6"/>
    <w:link w:val="2"/>
    <w:semiHidden/>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1</Pages>
  <Words>130</Words>
  <Characters>746</Characters>
  <Lines>6</Lines>
  <Paragraphs>1</Paragraphs>
  <TotalTime>105</TotalTime>
  <ScaleCrop>false</ScaleCrop>
  <LinksUpToDate>false</LinksUpToDate>
  <CharactersWithSpaces>875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2019-09-24T07:42:00Z</dcterms:created>
  <dc:creator>Administrator</dc:creator>
  <cp:lastModifiedBy>淡泊明志</cp:lastModifiedBy>
  <dcterms:modified xsi:type="dcterms:W3CDTF">2020-06-23T03:10:52Z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